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CF577A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D708E5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5D3C40">
        <w:rPr>
          <w:b/>
          <w:bCs/>
          <w:color w:val="3333FF"/>
          <w:sz w:val="24"/>
          <w:szCs w:val="24"/>
          <w:lang w:val="sr-Latn-BA"/>
        </w:rPr>
        <w:t>16</w:t>
      </w:r>
      <w:r w:rsidR="002F239A">
        <w:rPr>
          <w:b/>
          <w:bCs/>
          <w:color w:val="3333FF"/>
          <w:sz w:val="24"/>
          <w:szCs w:val="24"/>
          <w:lang w:val="sr-Latn-BA"/>
        </w:rPr>
        <w:t>.06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2F239A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708E5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2E7104" w:rsidRDefault="002F239A" w:rsidP="00133C68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bookmarkStart w:id="5" w:name="_GoBack"/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Usluge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štampanja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 NE - MARKETING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02EEE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E7104" w:rsidRPr="0031327D" w:rsidRDefault="002F239A" w:rsidP="008C731F">
            <w:pPr>
              <w:rPr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Usluge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štampanja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 NE - MARKETING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2F239A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93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00 - 8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5144A5">
              <w:rPr>
                <w:b/>
                <w:bCs/>
                <w:color w:val="3333FF"/>
                <w:sz w:val="24"/>
                <w:szCs w:val="24"/>
              </w:rPr>
              <w:t>5,000.</w:t>
            </w:r>
            <w:r w:rsidR="005D3C40">
              <w:rPr>
                <w:b/>
                <w:bCs/>
                <w:color w:val="3333FF"/>
                <w:sz w:val="24"/>
                <w:szCs w:val="24"/>
              </w:rPr>
              <w:t>00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 xml:space="preserve">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7995" w:type="dxa"/>
              <w:tblLook w:val="04A0" w:firstRow="1" w:lastRow="0" w:firstColumn="1" w:lastColumn="0" w:noHBand="0" w:noVBand="1"/>
            </w:tblPr>
            <w:tblGrid>
              <w:gridCol w:w="643"/>
              <w:gridCol w:w="6360"/>
              <w:gridCol w:w="992"/>
            </w:tblGrid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CF577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Sertifikat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tip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CF577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Sertifikat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tip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CF577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Sertifikat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tip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CF577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Vizit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kartica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Bro</w:t>
                  </w:r>
                  <w:r w:rsidR="00CF577A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šure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Bro</w:t>
                  </w:r>
                  <w:r w:rsidR="00CF577A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šure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CF57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Katalog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</w:t>
                  </w:r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niranje</w:t>
                  </w:r>
                  <w:proofErr w:type="spellEnd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listova</w:t>
                  </w:r>
                  <w:proofErr w:type="spellEnd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slaganje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5F6BE7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listslagalica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5F6BE7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Listslagalica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5F6BE7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Informativni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katalog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5F6BE7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Informativni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katalog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5F6BE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Katalog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6BE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obuka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DB2DD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Dizajni</w:t>
                  </w:r>
                  <w:r w:rsidR="00DB2DD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ranje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korica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DVD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Rad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korice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DVD</w:t>
                  </w:r>
                </w:p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Rad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stolnog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kalendara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Rad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zidnog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kalendara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Rad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zidnog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kalendara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Rad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zidnog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kalendara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Dizajni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ranje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baner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Štampanje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baner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Hemiske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Male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zastave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Zidni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sat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Sveske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–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tvrdim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koricama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Sveska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–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tankim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koricama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Čaše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Kišobrani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Upalači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Pozivnice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Koverte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Koverte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Koverte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Koverte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Kuti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ja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vizitkartice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Držači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Hemiske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u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kutiji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</w:p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38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Papirne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tašne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39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Plastik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postavljanje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imena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na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stolovima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sastanke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Medal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j</w:t>
                  </w: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Medal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joni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Velika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specijalna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plaketa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AB10FD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Velika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standardna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plaketa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4545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Plaket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mapom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Kosova</w:t>
                  </w:r>
                  <w:proofErr w:type="spellEnd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45456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od </w:t>
                  </w:r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B10F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kamen</w:t>
                  </w:r>
                  <w:r w:rsidR="0045456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454562" w:rsidP="004545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Mala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standardna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plaketa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Spila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1F2A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Spila</w:t>
                  </w:r>
                  <w:proofErr w:type="spellEnd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- 2 (</w:t>
                  </w:r>
                  <w:proofErr w:type="spellStart"/>
                  <w:r w:rsidR="001F2AB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samo</w:t>
                  </w:r>
                  <w:proofErr w:type="spellEnd"/>
                  <w:r w:rsidR="001F2AB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logo</w:t>
                  </w: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48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Iznutra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gravirani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Kristal</w:t>
                  </w:r>
                </w:p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49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Krest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1F2ABF" w:rsidP="001F2A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Knjiga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A4 ( </w:t>
                  </w:r>
                  <w:proofErr w:type="spellStart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unutrašnje</w:t>
                  </w:r>
                  <w:proofErr w:type="spellEnd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štampanje</w:t>
                  </w:r>
                  <w:proofErr w:type="spellEnd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I </w:t>
                  </w:r>
                  <w:proofErr w:type="spellStart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graviranje</w:t>
                  </w:r>
                  <w:proofErr w:type="spellEnd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600112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korica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51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Okrugli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pečat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40mm (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Troda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46040)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52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Četvrtastasti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pečat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74 x 37mm (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Troda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4926)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53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Četvrtasti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pečat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datumom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59x39mm (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Troda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4927)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54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Četvrtasti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pečat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46 x 17mm (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troda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4912)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55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Četvrtasti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pečat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57 x 21mm (</w:t>
                  </w:r>
                  <w:proofErr w:type="spellStart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Troda</w:t>
                  </w:r>
                  <w:proofErr w:type="spellEnd"/>
                  <w:r w:rsidR="002F239A"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4913)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56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Privezak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za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ključeve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logom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KAJB-a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</w:tr>
            <w:tr w:rsidR="002F239A" w:rsidRPr="00620067" w:rsidTr="00AB10FD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57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600112" w:rsidP="006001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Matična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knjiga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39A" w:rsidRPr="00620067" w:rsidRDefault="002F239A" w:rsidP="00AB10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20067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</w:tbl>
          <w:p w:rsidR="002F239A" w:rsidRPr="002A6518" w:rsidRDefault="00600112" w:rsidP="002F239A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Dodatne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informacije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će</w:t>
            </w:r>
            <w:proofErr w:type="spellEnd"/>
            <w:proofErr w:type="gram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te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naći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u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Dosieu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tendera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na</w:t>
            </w:r>
            <w:proofErr w:type="spellEnd"/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r w:rsidR="002F239A"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2F239A"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Aneks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u</w:t>
            </w:r>
            <w:proofErr w:type="spellEnd"/>
            <w:r w:rsidR="002F239A"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1 .</w:t>
            </w:r>
          </w:p>
          <w:p w:rsidR="002C5595" w:rsidRPr="0031327D" w:rsidRDefault="002C5595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Pr="0031327D" w:rsidRDefault="008F5A7A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) </w:t>
            </w:r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meseci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nakon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2F239A">
              <w:rPr>
                <w:rFonts w:ascii="Arial" w:hAnsi="Arial" w:cs="Arial"/>
                <w:color w:val="3333FF"/>
                <w:shd w:val="clear" w:color="auto" w:fill="FFFFFF"/>
              </w:rPr>
              <w:t xml:space="preserve"> od 31/12/2017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617F3" w:rsidRPr="0078435B" w:rsidRDefault="00C5145B" w:rsidP="00AF5FF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ekonomskog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kasni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najmanje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do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poslednjeg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tromesečja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godine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pre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podnošenja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tendera</w:t>
            </w:r>
            <w:proofErr w:type="spellEnd"/>
            <w:r w:rsidRPr="00C5145B">
              <w:rPr>
                <w:rStyle w:val="apple-converted-space"/>
                <w:rFonts w:ascii="Arial" w:hAnsi="Arial" w:cs="Arial"/>
                <w:color w:val="3333FF"/>
                <w:shd w:val="clear" w:color="auto" w:fill="FFFFFF"/>
              </w:rPr>
              <w:t> </w:t>
            </w: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6617F3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betim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q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tenderuesi</w:t>
            </w:r>
            <w:proofErr w:type="spellEnd"/>
            <w:r w:rsidRPr="00E2638E">
              <w:rPr>
                <w:color w:val="3333FF"/>
              </w:rPr>
              <w:t xml:space="preserve"> i </w:t>
            </w:r>
            <w:proofErr w:type="spellStart"/>
            <w:r w:rsidRPr="00E2638E">
              <w:rPr>
                <w:color w:val="3333FF"/>
              </w:rPr>
              <w:t>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konkurruar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sipas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Ligjit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Prokurimin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Publik</w:t>
            </w:r>
            <w:proofErr w:type="spellEnd"/>
            <w:r w:rsidRPr="00E2638E">
              <w:rPr>
                <w:color w:val="3333FF"/>
              </w:rPr>
              <w:t xml:space="preserve"> nr. 04/L-042, </w:t>
            </w:r>
            <w:proofErr w:type="spellStart"/>
            <w:r w:rsidRPr="00E2638E">
              <w:rPr>
                <w:color w:val="3333FF"/>
              </w:rPr>
              <w:t>Neni</w:t>
            </w:r>
            <w:proofErr w:type="spellEnd"/>
            <w:r w:rsidRPr="00E2638E">
              <w:rPr>
                <w:color w:val="3333FF"/>
              </w:rPr>
              <w:t xml:space="preserve"> 65, duke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Aneksin</w:t>
            </w:r>
            <w:proofErr w:type="spellEnd"/>
            <w:r w:rsidRPr="00E2638E">
              <w:rPr>
                <w:color w:val="3333FF"/>
              </w:rPr>
              <w:t xml:space="preserve"> 2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Dosjes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Tenderit</w:t>
            </w:r>
            <w:proofErr w:type="spellEnd"/>
            <w:r w:rsidRPr="00E2638E">
              <w:rPr>
                <w:color w:val="3333FF"/>
              </w:rPr>
              <w:t xml:space="preserve">, </w:t>
            </w:r>
            <w:proofErr w:type="spellStart"/>
            <w:r w:rsidRPr="00E2638E">
              <w:rPr>
                <w:color w:val="3333FF"/>
              </w:rPr>
              <w:t>duhet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dorëzohet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</w:t>
            </w:r>
            <w:proofErr w:type="spellEnd"/>
            <w:r w:rsidRPr="00E2638E">
              <w:rPr>
                <w:color w:val="3333FF"/>
              </w:rPr>
              <w:t xml:space="preserve">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 xml:space="preserve">( </w:t>
            </w:r>
            <w:proofErr w:type="spellStart"/>
            <w:r w:rsidRPr="00E2638E">
              <w:rPr>
                <w:color w:val="FF0000"/>
              </w:rPr>
              <w:t>Origjinal</w:t>
            </w:r>
            <w:proofErr w:type="spellEnd"/>
            <w:r w:rsidRPr="00E2638E">
              <w:rPr>
                <w:color w:val="FF0000"/>
              </w:rPr>
              <w:t xml:space="preserve"> 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B64630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osnivanja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niste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ovaj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sertifikat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mora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biti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starija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90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kalendarskih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otvaranja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manifestacije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) ( da se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podnese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OP . </w:t>
            </w:r>
            <w:proofErr w:type="gram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EK .</w:t>
            </w:r>
            <w:proofErr w:type="gram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koji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ima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cilj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obezbedi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.............................</w:t>
            </w:r>
            <w:r w:rsidR="00B64630" w:rsidRPr="006617F3">
              <w:rPr>
                <w:color w:val="3333FF"/>
                <w:sz w:val="22"/>
                <w:szCs w:val="22"/>
              </w:rPr>
              <w:t xml:space="preserve">................( </w:t>
            </w:r>
            <w:r w:rsidR="00B64630" w:rsidRPr="006617F3">
              <w:rPr>
                <w:color w:val="FF0000"/>
                <w:sz w:val="22"/>
                <w:szCs w:val="22"/>
              </w:rPr>
              <w:t>Original )</w:t>
            </w: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187796" w:rsidRDefault="00B64630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187796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187796">
              <w:rPr>
                <w:sz w:val="22"/>
                <w:szCs w:val="22"/>
                <w:lang w:val="sr-Latn-RS"/>
              </w:rPr>
              <w:t xml:space="preserve"> </w:t>
            </w:r>
          </w:p>
          <w:p w:rsidR="00187796" w:rsidRDefault="00187796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>
              <w:rPr>
                <w:color w:val="3333FF"/>
                <w:sz w:val="22"/>
                <w:szCs w:val="22"/>
                <w:lang w:val="sr-Latn-CS"/>
              </w:rPr>
              <w:t xml:space="preserve">Uverenje o PDV  ( validna ) </w:t>
            </w:r>
            <w:r>
              <w:rPr>
                <w:b/>
                <w:sz w:val="24"/>
                <w:szCs w:val="24"/>
                <w:lang w:val="sr-Latn-RS"/>
              </w:rPr>
              <w:t xml:space="preserve">          </w:t>
            </w:r>
          </w:p>
          <w:p w:rsidR="00187796" w:rsidRPr="00187796" w:rsidRDefault="00187796" w:rsidP="00187796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lastRenderedPageBreak/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187796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187796" w:rsidRPr="00187796" w:rsidRDefault="00187796" w:rsidP="00B64630">
            <w:pPr>
              <w:numPr>
                <w:ilvl w:val="0"/>
                <w:numId w:val="9"/>
              </w:numPr>
              <w:rPr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            </w:t>
            </w:r>
            <w:r w:rsidRPr="00187796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    (kopija)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2E7104">
        <w:trPr>
          <w:trHeight w:val="149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2E7104" w:rsidRPr="002E7104" w:rsidRDefault="002E7104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2F239A" w:rsidRDefault="002F239A" w:rsidP="000031B7">
            <w:pPr>
              <w:rPr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2F239A" w:rsidRDefault="002F239A" w:rsidP="000031B7">
            <w:pPr>
              <w:rPr>
                <w:sz w:val="24"/>
                <w:szCs w:val="24"/>
                <w:lang w:val="sr-Latn-BA"/>
              </w:rPr>
            </w:pPr>
          </w:p>
          <w:p w:rsidR="00B64630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2F239A" w:rsidRDefault="002F239A" w:rsidP="000031B7">
            <w:pPr>
              <w:rPr>
                <w:sz w:val="24"/>
                <w:szCs w:val="24"/>
                <w:lang w:val="sr-Latn-BA"/>
              </w:rPr>
            </w:pPr>
          </w:p>
          <w:p w:rsidR="00B64630" w:rsidRPr="002E7104" w:rsidRDefault="002F239A" w:rsidP="008F5A7A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ubaci 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lastRenderedPageBreak/>
                    <w:t>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5144A5">
              <w:rPr>
                <w:b/>
                <w:color w:val="3333FF"/>
                <w:sz w:val="22"/>
                <w:szCs w:val="22"/>
              </w:rPr>
              <w:t>23</w:t>
            </w:r>
            <w:r w:rsidR="002F239A">
              <w:rPr>
                <w:b/>
                <w:color w:val="3333FF"/>
                <w:sz w:val="22"/>
                <w:szCs w:val="22"/>
              </w:rPr>
              <w:t>.06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5144A5">
              <w:rPr>
                <w:b/>
                <w:color w:val="3333FF"/>
                <w:sz w:val="22"/>
                <w:szCs w:val="22"/>
              </w:rPr>
              <w:t>27</w:t>
            </w:r>
            <w:r w:rsidR="002F239A">
              <w:rPr>
                <w:b/>
                <w:color w:val="3333FF"/>
                <w:sz w:val="22"/>
                <w:szCs w:val="22"/>
              </w:rPr>
              <w:t>.06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5144A5">
              <w:rPr>
                <w:b/>
                <w:color w:val="3333FF"/>
                <w:sz w:val="22"/>
                <w:szCs w:val="22"/>
              </w:rPr>
              <w:t>27</w:t>
            </w:r>
            <w:r w:rsidR="002F239A">
              <w:rPr>
                <w:b/>
                <w:color w:val="3333FF"/>
                <w:sz w:val="22"/>
                <w:szCs w:val="22"/>
              </w:rPr>
              <w:t>.06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8F5A7A" w:rsidRDefault="004142A8" w:rsidP="008F5A7A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lastRenderedPageBreak/>
              <w:t>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CC" w:rsidRDefault="008E7ACC">
      <w:r>
        <w:separator/>
      </w:r>
    </w:p>
  </w:endnote>
  <w:endnote w:type="continuationSeparator" w:id="0">
    <w:p w:rsidR="008E7ACC" w:rsidRDefault="008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FD" w:rsidRPr="008E7756" w:rsidRDefault="00AB10F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AB10FD" w:rsidRPr="008E7756" w:rsidRDefault="00AB10F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AB10FD" w:rsidRPr="008E7756" w:rsidRDefault="00AB10F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CC" w:rsidRDefault="008E7ACC">
      <w:r>
        <w:separator/>
      </w:r>
    </w:p>
  </w:footnote>
  <w:footnote w:type="continuationSeparator" w:id="0">
    <w:p w:rsidR="008E7ACC" w:rsidRDefault="008E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FD" w:rsidRDefault="00AB10FD">
    <w:pPr>
      <w:tabs>
        <w:tab w:val="center" w:pos="4320"/>
        <w:tab w:val="right" w:pos="8640"/>
      </w:tabs>
      <w:rPr>
        <w:kern w:val="0"/>
      </w:rPr>
    </w:pPr>
  </w:p>
  <w:p w:rsidR="00AB10FD" w:rsidRDefault="00AB10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87796"/>
    <w:rsid w:val="00194C2D"/>
    <w:rsid w:val="001A45D9"/>
    <w:rsid w:val="001A4E98"/>
    <w:rsid w:val="001B0A08"/>
    <w:rsid w:val="001B0A4C"/>
    <w:rsid w:val="001D24B7"/>
    <w:rsid w:val="001D545B"/>
    <w:rsid w:val="001F0044"/>
    <w:rsid w:val="001F2ABF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C5595"/>
    <w:rsid w:val="002D1326"/>
    <w:rsid w:val="002D5184"/>
    <w:rsid w:val="002D7BF4"/>
    <w:rsid w:val="002E3F94"/>
    <w:rsid w:val="002E4207"/>
    <w:rsid w:val="002E694F"/>
    <w:rsid w:val="002E7104"/>
    <w:rsid w:val="002F006B"/>
    <w:rsid w:val="002F239A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54562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44A5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9639A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D3C40"/>
    <w:rsid w:val="005E0B07"/>
    <w:rsid w:val="005E1727"/>
    <w:rsid w:val="005E1F11"/>
    <w:rsid w:val="005F2490"/>
    <w:rsid w:val="005F53F8"/>
    <w:rsid w:val="005F6995"/>
    <w:rsid w:val="005F6BE7"/>
    <w:rsid w:val="00600112"/>
    <w:rsid w:val="00600959"/>
    <w:rsid w:val="006106FA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75EA"/>
    <w:rsid w:val="00802EEE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B704B"/>
    <w:rsid w:val="008C121A"/>
    <w:rsid w:val="008C2368"/>
    <w:rsid w:val="008C731F"/>
    <w:rsid w:val="008E7756"/>
    <w:rsid w:val="008E7ACC"/>
    <w:rsid w:val="008F1A11"/>
    <w:rsid w:val="008F5A7A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73A7E"/>
    <w:rsid w:val="00A832E0"/>
    <w:rsid w:val="00A87877"/>
    <w:rsid w:val="00A87F08"/>
    <w:rsid w:val="00A90570"/>
    <w:rsid w:val="00AA3073"/>
    <w:rsid w:val="00AA3143"/>
    <w:rsid w:val="00AB10FD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0400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5145B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77A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451E"/>
    <w:rsid w:val="00D6524D"/>
    <w:rsid w:val="00D653EB"/>
    <w:rsid w:val="00D708E5"/>
    <w:rsid w:val="00D83E01"/>
    <w:rsid w:val="00D87AEF"/>
    <w:rsid w:val="00D97400"/>
    <w:rsid w:val="00DA0F7D"/>
    <w:rsid w:val="00DB2DD2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CBA0-0C5A-4A10-A937-E846B5D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2017-06-19T07:02:00Z</dcterms:created>
  <dcterms:modified xsi:type="dcterms:W3CDTF">2017-06-19T07:02:00Z</dcterms:modified>
</cp:coreProperties>
</file>